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D5" w:rsidRDefault="007659A6">
      <w:pPr>
        <w:spacing w:after="0" w:line="259" w:lineRule="auto"/>
        <w:ind w:left="106" w:hanging="10"/>
        <w:jc w:val="center"/>
      </w:pPr>
      <w:r>
        <w:t>December 13, 2016 Tentative Agreement</w:t>
      </w:r>
    </w:p>
    <w:p w:rsidR="00DC30D5" w:rsidRDefault="007659A6">
      <w:pPr>
        <w:spacing w:after="0" w:line="259" w:lineRule="auto"/>
        <w:ind w:left="106" w:right="5" w:hanging="10"/>
        <w:jc w:val="center"/>
      </w:pPr>
      <w:r>
        <w:t>Between BAAQMD Employees' Association and Air District</w:t>
      </w:r>
    </w:p>
    <w:p w:rsidR="00DC30D5" w:rsidRDefault="007659A6">
      <w:pPr>
        <w:spacing w:after="273" w:line="259" w:lineRule="auto"/>
        <w:ind w:left="106" w:hanging="10"/>
        <w:jc w:val="center"/>
      </w:pPr>
      <w:r>
        <w:t>Regarding Transit Subsidy for Supervising Air Quality Specialists</w:t>
      </w:r>
    </w:p>
    <w:p w:rsidR="00DC30D5" w:rsidRDefault="007659A6">
      <w:pPr>
        <w:spacing w:after="286"/>
        <w:ind w:left="-10" w:right="47"/>
      </w:pPr>
      <w:r>
        <w:t>Recently, the Air District has reorganized the duties of Supervising Quality Specialists (SAQS) in the Compliance &amp; Enforcement Division. Among these changes, employees in this class now work from the Air District headquarters location, and are assigned to</w:t>
      </w:r>
      <w:r>
        <w:t xml:space="preserve"> the field on a more limited basis.</w:t>
      </w:r>
    </w:p>
    <w:p w:rsidR="00DC30D5" w:rsidRDefault="007659A6">
      <w:pPr>
        <w:spacing w:after="287"/>
        <w:ind w:left="-10" w:right="47"/>
      </w:pPr>
      <w:r>
        <w:t>As a result of this change, employees in this class no longer are assigned District vehicles to take home. The impact of this change may have created additional transit costs for some employees.</w:t>
      </w:r>
    </w:p>
    <w:p w:rsidR="00DC30D5" w:rsidRDefault="007659A6">
      <w:pPr>
        <w:spacing w:after="279"/>
        <w:ind w:left="-10" w:right="509"/>
      </w:pPr>
      <w:r>
        <w:t>As a result, the Air Dist</w:t>
      </w:r>
      <w:r>
        <w:t>rict agrees to offer employees in this class the District's Transit Subsidy as provided in Section 11.13 of the MOU. And, for those employees who have demonstrated costs in excess of the subsidy, the District agrees to offer them an additional subsidy.</w:t>
      </w:r>
    </w:p>
    <w:p w:rsidR="00DC30D5" w:rsidRDefault="007659A6">
      <w:pPr>
        <w:spacing w:after="336" w:line="259" w:lineRule="auto"/>
        <w:ind w:left="0" w:firstLine="0"/>
        <w:jc w:val="left"/>
      </w:pPr>
      <w:r>
        <w:rPr>
          <w:sz w:val="24"/>
        </w:rPr>
        <w:t>Thi</w:t>
      </w:r>
      <w:r>
        <w:rPr>
          <w:sz w:val="24"/>
        </w:rPr>
        <w:t>s additional subsidy shall be paid to:</w:t>
      </w:r>
    </w:p>
    <w:p w:rsidR="00DC30D5" w:rsidRDefault="007659A6">
      <w:pPr>
        <w:numPr>
          <w:ilvl w:val="0"/>
          <w:numId w:val="1"/>
        </w:numPr>
        <w:ind w:right="47" w:hanging="360"/>
      </w:pPr>
      <w:r>
        <w:t>Three (3) SAQS in the Compliance &amp; Enforcement Division. The initial additional monthly amount paid shall be as follows:</w:t>
      </w:r>
    </w:p>
    <w:p w:rsidR="00DC30D5" w:rsidRDefault="007659A6">
      <w:pPr>
        <w:numPr>
          <w:ilvl w:val="2"/>
          <w:numId w:val="2"/>
        </w:numPr>
        <w:ind w:right="47" w:hanging="370"/>
      </w:pPr>
      <w:r w:rsidRPr="007659A6">
        <w:rPr>
          <w:highlight w:val="black"/>
        </w:rPr>
        <w:t>Gambardella</w:t>
      </w:r>
      <w:r>
        <w:t xml:space="preserve"> $48.00</w:t>
      </w:r>
    </w:p>
    <w:p w:rsidR="00DC30D5" w:rsidRDefault="007659A6">
      <w:pPr>
        <w:numPr>
          <w:ilvl w:val="2"/>
          <w:numId w:val="2"/>
        </w:numPr>
        <w:ind w:right="47" w:hanging="370"/>
      </w:pPr>
      <w:r w:rsidRPr="007659A6">
        <w:rPr>
          <w:highlight w:val="black"/>
        </w:rPr>
        <w:t>Giacometti</w:t>
      </w:r>
      <w:r>
        <w:t xml:space="preserve"> $48.00</w:t>
      </w:r>
    </w:p>
    <w:p w:rsidR="00DC30D5" w:rsidRDefault="007659A6">
      <w:pPr>
        <w:numPr>
          <w:ilvl w:val="2"/>
          <w:numId w:val="2"/>
        </w:numPr>
        <w:spacing w:after="280"/>
        <w:ind w:right="47" w:hanging="370"/>
      </w:pPr>
      <w:r w:rsidRPr="007659A6">
        <w:rPr>
          <w:highlight w:val="black"/>
        </w:rPr>
        <w:t>Nelson</w:t>
      </w:r>
      <w:r>
        <w:t xml:space="preserve"> $64.00</w:t>
      </w:r>
    </w:p>
    <w:p w:rsidR="00DC30D5" w:rsidRDefault="007659A6">
      <w:pPr>
        <w:spacing w:after="327"/>
        <w:ind w:left="730" w:right="47"/>
      </w:pPr>
      <w:r>
        <w:t>Should the District transit subsidy increase or should transit costs (based on their commute needs as of June 1, 2016) increase for these three SAQS during the terms of this agreement, the District will reassess and modif</w:t>
      </w:r>
      <w:bookmarkStart w:id="0" w:name="_GoBack"/>
      <w:bookmarkEnd w:id="0"/>
      <w:r>
        <w:t>y the additional subsidy to an amou</w:t>
      </w:r>
      <w:r>
        <w:t>nt necessary to mitigate the employees' any out-of-pocket transit expenses.</w:t>
      </w:r>
    </w:p>
    <w:p w:rsidR="00DC30D5" w:rsidRDefault="007659A6">
      <w:pPr>
        <w:numPr>
          <w:ilvl w:val="0"/>
          <w:numId w:val="1"/>
        </w:numPr>
        <w:spacing w:after="311"/>
        <w:ind w:right="47" w:hanging="360"/>
      </w:pPr>
      <w:r>
        <w:t>The increase in transit subsidy for SAQS's shall be retroactive to June 1, 2016, the week the Air District moved to 375 Beale Street.</w:t>
      </w:r>
    </w:p>
    <w:p w:rsidR="00DC30D5" w:rsidRDefault="007659A6">
      <w:pPr>
        <w:numPr>
          <w:ilvl w:val="0"/>
          <w:numId w:val="1"/>
        </w:numPr>
        <w:ind w:right="47" w:hanging="360"/>
      </w:pPr>
      <w:r>
        <w:t>Such additional payments shall terminate eithe</w:t>
      </w:r>
      <w:r>
        <w:t>r:</w:t>
      </w:r>
    </w:p>
    <w:p w:rsidR="00DC30D5" w:rsidRDefault="007659A6">
      <w:pPr>
        <w:numPr>
          <w:ilvl w:val="1"/>
          <w:numId w:val="1"/>
        </w:numPr>
        <w:ind w:left="1107" w:right="47" w:hanging="370"/>
      </w:pPr>
      <w:r>
        <w:t>Upon renegotiation of the provisions of the MOU which govern transit subsidy, or</w:t>
      </w:r>
    </w:p>
    <w:p w:rsidR="00DC30D5" w:rsidRDefault="007659A6">
      <w:pPr>
        <w:numPr>
          <w:ilvl w:val="1"/>
          <w:numId w:val="1"/>
        </w:numPr>
        <w:spacing w:after="352"/>
        <w:ind w:left="1107" w:right="47" w:hanging="370"/>
      </w:pPr>
      <w:r>
        <w:t>In the event that any of the employees named above are no longer employed as an SAQS in the Compliance &amp; Enforcement Division, additional payments to that employee shall te</w:t>
      </w:r>
      <w:r>
        <w:t>rminate.</w:t>
      </w:r>
    </w:p>
    <w:p w:rsidR="00DC30D5" w:rsidRDefault="007659A6">
      <w:pPr>
        <w:numPr>
          <w:ilvl w:val="0"/>
          <w:numId w:val="1"/>
        </w:numPr>
        <w:spacing w:after="272"/>
        <w:ind w:right="47" w:hanging="360"/>
      </w:pPr>
      <w:r>
        <w:t>This agreement shall not be considered precedential.</w:t>
      </w:r>
    </w:p>
    <w:p w:rsidR="00DC30D5" w:rsidRDefault="007659A6">
      <w:pPr>
        <w:ind w:left="-10" w:right="47"/>
      </w:pPr>
      <w:r>
        <w:t>Tentative Agreement</w:t>
      </w:r>
    </w:p>
    <w:p w:rsidR="00DC30D5" w:rsidRDefault="007659A6">
      <w:pPr>
        <w:spacing w:after="0" w:line="259" w:lineRule="auto"/>
        <w:ind w:left="-307" w:right="-101" w:firstLine="0"/>
        <w:jc w:val="left"/>
      </w:pPr>
      <w:r>
        <w:rPr>
          <w:noProof/>
        </w:rPr>
        <w:lastRenderedPageBreak/>
        <mc:AlternateContent>
          <mc:Choice Requires="wpg">
            <w:drawing>
              <wp:inline distT="0" distB="0" distL="0" distR="0">
                <wp:extent cx="6169152" cy="1027487"/>
                <wp:effectExtent l="0" t="0" r="0" b="0"/>
                <wp:docPr id="4391" name="Group 4391"/>
                <wp:cNvGraphicFramePr/>
                <a:graphic xmlns:a="http://schemas.openxmlformats.org/drawingml/2006/main">
                  <a:graphicData uri="http://schemas.microsoft.com/office/word/2010/wordprocessingGroup">
                    <wpg:wgp>
                      <wpg:cNvGrpSpPr/>
                      <wpg:grpSpPr>
                        <a:xfrm>
                          <a:off x="0" y="0"/>
                          <a:ext cx="6169152" cy="1027487"/>
                          <a:chOff x="0" y="0"/>
                          <a:chExt cx="6169152" cy="1027487"/>
                        </a:xfrm>
                      </wpg:grpSpPr>
                      <pic:pic xmlns:pic="http://schemas.openxmlformats.org/drawingml/2006/picture">
                        <pic:nvPicPr>
                          <pic:cNvPr id="4577" name="Picture 4577"/>
                          <pic:cNvPicPr/>
                        </pic:nvPicPr>
                        <pic:blipFill>
                          <a:blip r:embed="rId5"/>
                          <a:stretch>
                            <a:fillRect/>
                          </a:stretch>
                        </pic:blipFill>
                        <pic:spPr>
                          <a:xfrm>
                            <a:off x="0" y="0"/>
                            <a:ext cx="6169152" cy="963460"/>
                          </a:xfrm>
                          <a:prstGeom prst="rect">
                            <a:avLst/>
                          </a:prstGeom>
                        </pic:spPr>
                      </pic:pic>
                      <wps:wsp>
                        <wps:cNvPr id="533" name="Rectangle 533"/>
                        <wps:cNvSpPr/>
                        <wps:spPr>
                          <a:xfrm>
                            <a:off x="4986528" y="893335"/>
                            <a:ext cx="344576" cy="178423"/>
                          </a:xfrm>
                          <a:prstGeom prst="rect">
                            <a:avLst/>
                          </a:prstGeom>
                          <a:ln>
                            <a:noFill/>
                          </a:ln>
                        </wps:spPr>
                        <wps:txbx>
                          <w:txbxContent>
                            <w:p w:rsidR="00DC30D5" w:rsidRDefault="007659A6">
                              <w:pPr>
                                <w:spacing w:after="160" w:line="259" w:lineRule="auto"/>
                                <w:ind w:left="0" w:firstLine="0"/>
                                <w:jc w:val="left"/>
                              </w:pPr>
                              <w:r>
                                <w:rPr>
                                  <w:sz w:val="24"/>
                                </w:rPr>
                                <w:t>Date</w:t>
                              </w:r>
                            </w:p>
                          </w:txbxContent>
                        </wps:txbx>
                        <wps:bodyPr horzOverflow="overflow" vert="horz" lIns="0" tIns="0" rIns="0" bIns="0" rtlCol="0">
                          <a:noAutofit/>
                        </wps:bodyPr>
                      </wps:wsp>
                      <wps:wsp>
                        <wps:cNvPr id="527" name="Rectangle 527"/>
                        <wps:cNvSpPr/>
                        <wps:spPr>
                          <a:xfrm>
                            <a:off x="207264" y="896383"/>
                            <a:ext cx="279715" cy="170313"/>
                          </a:xfrm>
                          <a:prstGeom prst="rect">
                            <a:avLst/>
                          </a:prstGeom>
                          <a:ln>
                            <a:noFill/>
                          </a:ln>
                        </wps:spPr>
                        <wps:txbx>
                          <w:txbxContent>
                            <w:p w:rsidR="00DC30D5" w:rsidRDefault="007659A6">
                              <w:pPr>
                                <w:spacing w:after="160" w:line="259" w:lineRule="auto"/>
                                <w:ind w:left="0" w:firstLine="0"/>
                                <w:jc w:val="left"/>
                              </w:pPr>
                              <w:r>
                                <w:t xml:space="preserve">For </w:t>
                              </w:r>
                            </w:p>
                          </w:txbxContent>
                        </wps:txbx>
                        <wps:bodyPr horzOverflow="overflow" vert="horz" lIns="0" tIns="0" rIns="0" bIns="0" rtlCol="0">
                          <a:noAutofit/>
                        </wps:bodyPr>
                      </wps:wsp>
                      <wps:wsp>
                        <wps:cNvPr id="528" name="Rectangle 528"/>
                        <wps:cNvSpPr/>
                        <wps:spPr>
                          <a:xfrm>
                            <a:off x="417576" y="896383"/>
                            <a:ext cx="308092" cy="170313"/>
                          </a:xfrm>
                          <a:prstGeom prst="rect">
                            <a:avLst/>
                          </a:prstGeom>
                          <a:ln>
                            <a:noFill/>
                          </a:ln>
                        </wps:spPr>
                        <wps:txbx>
                          <w:txbxContent>
                            <w:p w:rsidR="00DC30D5" w:rsidRDefault="007659A6">
                              <w:pPr>
                                <w:spacing w:after="160" w:line="259" w:lineRule="auto"/>
                                <w:ind w:left="0" w:firstLine="0"/>
                                <w:jc w:val="left"/>
                              </w:pPr>
                              <w:r>
                                <w:t xml:space="preserve">the </w:t>
                              </w:r>
                            </w:p>
                          </w:txbxContent>
                        </wps:txbx>
                        <wps:bodyPr horzOverflow="overflow" vert="horz" lIns="0" tIns="0" rIns="0" bIns="0" rtlCol="0">
                          <a:noAutofit/>
                        </wps:bodyPr>
                      </wps:wsp>
                      <wps:wsp>
                        <wps:cNvPr id="529" name="Rectangle 529"/>
                        <wps:cNvSpPr/>
                        <wps:spPr>
                          <a:xfrm>
                            <a:off x="649224" y="896383"/>
                            <a:ext cx="895899" cy="170313"/>
                          </a:xfrm>
                          <a:prstGeom prst="rect">
                            <a:avLst/>
                          </a:prstGeom>
                          <a:ln>
                            <a:noFill/>
                          </a:ln>
                        </wps:spPr>
                        <wps:txbx>
                          <w:txbxContent>
                            <w:p w:rsidR="00DC30D5" w:rsidRDefault="007659A6">
                              <w:pPr>
                                <w:spacing w:after="160" w:line="259" w:lineRule="auto"/>
                                <w:ind w:left="0" w:firstLine="0"/>
                                <w:jc w:val="left"/>
                              </w:pPr>
                              <w:r>
                                <w:t xml:space="preserve">Employee's </w:t>
                              </w:r>
                            </w:p>
                          </w:txbxContent>
                        </wps:txbx>
                        <wps:bodyPr horzOverflow="overflow" vert="horz" lIns="0" tIns="0" rIns="0" bIns="0" rtlCol="0">
                          <a:noAutofit/>
                        </wps:bodyPr>
                      </wps:wsp>
                      <wps:wsp>
                        <wps:cNvPr id="530" name="Rectangle 530"/>
                        <wps:cNvSpPr/>
                        <wps:spPr>
                          <a:xfrm>
                            <a:off x="1322832" y="899432"/>
                            <a:ext cx="855360" cy="166258"/>
                          </a:xfrm>
                          <a:prstGeom prst="rect">
                            <a:avLst/>
                          </a:prstGeom>
                          <a:ln>
                            <a:noFill/>
                          </a:ln>
                        </wps:spPr>
                        <wps:txbx>
                          <w:txbxContent>
                            <w:p w:rsidR="00DC30D5" w:rsidRDefault="007659A6">
                              <w:pPr>
                                <w:spacing w:after="160" w:line="259" w:lineRule="auto"/>
                                <w:ind w:left="0" w:firstLine="0"/>
                                <w:jc w:val="left"/>
                              </w:pPr>
                              <w:r>
                                <w:t>Association</w:t>
                              </w:r>
                            </w:p>
                          </w:txbxContent>
                        </wps:txbx>
                        <wps:bodyPr horzOverflow="overflow" vert="horz" lIns="0" tIns="0" rIns="0" bIns="0" rtlCol="0">
                          <a:noAutofit/>
                        </wps:bodyPr>
                      </wps:wsp>
                    </wpg:wgp>
                  </a:graphicData>
                </a:graphic>
              </wp:inline>
            </w:drawing>
          </mc:Choice>
          <mc:Fallback xmlns:a="http://schemas.openxmlformats.org/drawingml/2006/main">
            <w:pict>
              <v:group id="Group 4391" style="width:485.76pt;height:80.9045pt;mso-position-horizontal-relative:char;mso-position-vertical-relative:line" coordsize="61691,10274">
                <v:shape id="Picture 4577" style="position:absolute;width:61691;height:9634;left:0;top:0;" filled="f">
                  <v:imagedata r:id="rId6"/>
                </v:shape>
                <v:rect id="Rectangle 533" style="position:absolute;width:3445;height:1784;left:49865;top:8933;" filled="f" stroked="f">
                  <v:textbox inset="0,0,0,0">
                    <w:txbxContent>
                      <w:p>
                        <w:pPr>
                          <w:spacing w:before="0" w:after="160" w:line="259" w:lineRule="auto"/>
                          <w:ind w:left="0" w:firstLine="0"/>
                          <w:jc w:val="left"/>
                        </w:pPr>
                        <w:r>
                          <w:rPr>
                            <w:sz w:val="24"/>
                          </w:rPr>
                          <w:t xml:space="preserve">Date</w:t>
                        </w:r>
                      </w:p>
                    </w:txbxContent>
                  </v:textbox>
                </v:rect>
                <v:rect id="Rectangle 527" style="position:absolute;width:2797;height:1703;left:2072;top:8963;" filled="f" stroked="f">
                  <v:textbox inset="0,0,0,0">
                    <w:txbxContent>
                      <w:p>
                        <w:pPr>
                          <w:spacing w:before="0" w:after="160" w:line="259" w:lineRule="auto"/>
                          <w:ind w:left="0" w:firstLine="0"/>
                          <w:jc w:val="left"/>
                        </w:pPr>
                        <w:r>
                          <w:rPr/>
                          <w:t xml:space="preserve">For </w:t>
                        </w:r>
                      </w:p>
                    </w:txbxContent>
                  </v:textbox>
                </v:rect>
                <v:rect id="Rectangle 528" style="position:absolute;width:3080;height:1703;left:4175;top:8963;" filled="f" stroked="f">
                  <v:textbox inset="0,0,0,0">
                    <w:txbxContent>
                      <w:p>
                        <w:pPr>
                          <w:spacing w:before="0" w:after="160" w:line="259" w:lineRule="auto"/>
                          <w:ind w:left="0" w:firstLine="0"/>
                          <w:jc w:val="left"/>
                        </w:pPr>
                        <w:r>
                          <w:rPr/>
                          <w:t xml:space="preserve">the </w:t>
                        </w:r>
                      </w:p>
                    </w:txbxContent>
                  </v:textbox>
                </v:rect>
                <v:rect id="Rectangle 529" style="position:absolute;width:8958;height:1703;left:6492;top:8963;" filled="f" stroked="f">
                  <v:textbox inset="0,0,0,0">
                    <w:txbxContent>
                      <w:p>
                        <w:pPr>
                          <w:spacing w:before="0" w:after="160" w:line="259" w:lineRule="auto"/>
                          <w:ind w:left="0" w:firstLine="0"/>
                          <w:jc w:val="left"/>
                        </w:pPr>
                        <w:r>
                          <w:rPr/>
                          <w:t xml:space="preserve">Employee's </w:t>
                        </w:r>
                      </w:p>
                    </w:txbxContent>
                  </v:textbox>
                </v:rect>
                <v:rect id="Rectangle 530" style="position:absolute;width:8553;height:1662;left:13228;top:8994;" filled="f" stroked="f">
                  <v:textbox inset="0,0,0,0">
                    <w:txbxContent>
                      <w:p>
                        <w:pPr>
                          <w:spacing w:before="0" w:after="160" w:line="259" w:lineRule="auto"/>
                          <w:ind w:left="0" w:firstLine="0"/>
                          <w:jc w:val="left"/>
                        </w:pPr>
                        <w:r>
                          <w:rPr/>
                          <w:t xml:space="preserve">Association</w:t>
                        </w:r>
                      </w:p>
                    </w:txbxContent>
                  </v:textbox>
                </v:rect>
              </v:group>
            </w:pict>
          </mc:Fallback>
        </mc:AlternateContent>
      </w:r>
    </w:p>
    <w:sectPr w:rsidR="00DC30D5">
      <w:pgSz w:w="12240" w:h="15840"/>
      <w:pgMar w:top="1440" w:right="1526" w:bottom="1440"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A34"/>
    <w:multiLevelType w:val="hybridMultilevel"/>
    <w:tmpl w:val="37B44A3C"/>
    <w:lvl w:ilvl="0" w:tplc="41EC4634">
      <w:start w:val="1"/>
      <w:numFmt w:val="decimal"/>
      <w:lvlText w:val="%1."/>
      <w:lvlJc w:val="left"/>
      <w:pPr>
        <w:ind w:left="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BE1D7C">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F08A48">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C6BEE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E6F150">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4C70DA">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E81D38">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6ECBA4">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163E1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06557"/>
    <w:multiLevelType w:val="hybridMultilevel"/>
    <w:tmpl w:val="16E24758"/>
    <w:lvl w:ilvl="0" w:tplc="52AAA1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4ADF4C">
      <w:start w:val="1"/>
      <w:numFmt w:val="lowerLetter"/>
      <w:lvlText w:val="%2"/>
      <w:lvlJc w:val="left"/>
      <w:pPr>
        <w:ind w:left="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AE6A80">
      <w:start w:val="1"/>
      <w:numFmt w:val="lowerLetter"/>
      <w:lvlRestart w:val="0"/>
      <w:lvlText w:val="%3."/>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D88E78">
      <w:start w:val="1"/>
      <w:numFmt w:val="decimal"/>
      <w:lvlText w:val="%4"/>
      <w:lvlJc w:val="left"/>
      <w:pPr>
        <w:ind w:left="2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D636C6">
      <w:start w:val="1"/>
      <w:numFmt w:val="lowerLetter"/>
      <w:lvlText w:val="%5"/>
      <w:lvlJc w:val="left"/>
      <w:pPr>
        <w:ind w:left="2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44EFB6">
      <w:start w:val="1"/>
      <w:numFmt w:val="lowerRoman"/>
      <w:lvlText w:val="%6"/>
      <w:lvlJc w:val="left"/>
      <w:pPr>
        <w:ind w:left="3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B4B4A0">
      <w:start w:val="1"/>
      <w:numFmt w:val="decimal"/>
      <w:lvlText w:val="%7"/>
      <w:lvlJc w:val="left"/>
      <w:pPr>
        <w:ind w:left="4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A45F5C">
      <w:start w:val="1"/>
      <w:numFmt w:val="lowerLetter"/>
      <w:lvlText w:val="%8"/>
      <w:lvlJc w:val="left"/>
      <w:pPr>
        <w:ind w:left="5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8671F4">
      <w:start w:val="1"/>
      <w:numFmt w:val="lowerRoman"/>
      <w:lvlText w:val="%9"/>
      <w:lvlJc w:val="left"/>
      <w:pPr>
        <w:ind w:left="5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5"/>
    <w:rsid w:val="007659A6"/>
    <w:rsid w:val="00DC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24C8C-84FE-450A-88C1-F5D3A91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 w:line="253" w:lineRule="auto"/>
      <w:ind w:left="96"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7.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Coelho</dc:creator>
  <cp:keywords/>
  <cp:lastModifiedBy>Christopher Coelho</cp:lastModifiedBy>
  <cp:revision>2</cp:revision>
  <dcterms:created xsi:type="dcterms:W3CDTF">2016-12-30T01:17:00Z</dcterms:created>
  <dcterms:modified xsi:type="dcterms:W3CDTF">2016-12-30T01:17:00Z</dcterms:modified>
</cp:coreProperties>
</file>